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荆紫关镇金家沟村村情概况</w:t>
      </w:r>
      <w:bookmarkStart w:id="0" w:name="_GoBack"/>
      <w:bookmarkEnd w:id="0"/>
    </w:p>
    <w:p w14:paraId="6FAC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97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一、基本村情</w:t>
      </w:r>
    </w:p>
    <w:p w14:paraId="31340ED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 w:val="0"/>
        <w:topLinePunct w:val="0"/>
        <w:bidi w:val="0"/>
        <w:spacing w:beforeAutospacing="0" w:afterAutospacing="0" w:line="578" w:lineRule="exact"/>
        <w:ind w:firstLine="64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荆紫关镇金家沟村位于荆紫关镇东北15公里处，全村总面积约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  <w:t>15.93平方公里</w:t>
      </w:r>
      <w:r>
        <w:rPr>
          <w:rFonts w:hint="eastAsia" w:asciiTheme="minorEastAsia" w:hAnsiTheme="minorEastAsia" w:cstheme="minorEastAsia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23837.1亩</w:t>
      </w:r>
      <w:r>
        <w:rPr>
          <w:rFonts w:hint="eastAsia" w:asciiTheme="minorEastAsia" w:hAnsiTheme="minorEastAsia" w:cstheme="minorEastAsia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；耕地面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积1465.42亩，公益林12570亩，四荒地“四荒”地9200亩（含荒滩12亩），下辖12个村民小组。总户数374户(在家6个月以上286户），总人口1471人(在家6个月以上691人）；村三委干部6名，党员23名（常年在家12名）；低保户126户191人、五保户19户21人、孤儿0人、脱贫户84户294人，监测户17户51人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荆紫关镇副镇长贾晨任脱贫责任组组长，现任驻村第一书记罗军。村主要产业是林果种植、中药材种植、猪牛羊蜂养殖。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脱贫攻坚期间，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代表淅川县接受国家的脱贫摘帽评估考核，取得了良好效果，为我县打赢脱贫攻坚硬仗展现了担当、贡献力力量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7374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巩固脱贫攻坚成果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工作情况</w:t>
      </w:r>
    </w:p>
    <w:p w14:paraId="26B2301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责任落实情况</w:t>
      </w:r>
    </w:p>
    <w:p w14:paraId="5ECA3C5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金家沟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 2021 年两委换届，组成两委班子成员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扶单位是淅川县行政审批服务中心，责任组长是贾晨（荆紫关镇政府副镇长），驻村第一书记、工作队长罗军（淅川县行政审批服务中心网监股股长），帮扶队员两名（贾晓飞、王楠），帮扶责任人22名（县行政审批服务中心8名、农业农村局10名、镇政府2名、村委2名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自乡村振兴工作开展以来，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金家沟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按照上级党委、政府的安排部署，认真学习领悟，思想上以习总书记和省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市、县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领导关于乡村振兴的重要指示为统领，组织上建好班子，带好队伍，统筹好村组干部和帮扶队员两支队伍，发展好村组干部的主体作用和帮扶队员的帮扶作用，任务明确，责任到人，分工合作，有序推进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工作上贯彻落实好政策，精准帮扶，因户施策，防止返贫，压茬推进，落实好行业及产业帮扶政策，保证应享尽享，应纳尽纳，稳定脱贫，与乡村振兴紧密衔接，早日实现小康生活。</w:t>
      </w:r>
    </w:p>
    <w:p w14:paraId="729FD3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政策落实情况</w:t>
      </w:r>
    </w:p>
    <w:p w14:paraId="4FB3689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针对每户情况，对照行业帮扶政策，协调落实到位，确保户不漏项，项不漏人，应享尽享。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水安全方面，2021年，新打深水井一眼，同时，为下沟组重建了饮水管网，实现户户通自来水；为全村71户脱贫户落实产业奖补；68户脱贫户落实务工奖补；81户落实光伏扶贫公益岗岗位；11人落实技术培训；101户345名脱贫人口落实了每人60元的医疗补贴，为家庭患病人员办理了慢性病卡，签订了家庭医生，定期入户进行随访；17人落实“六大员”公益岗位；85名脱贫学生落实教育扶贫政策；27户落实金融小额信贷政策；17人落实发放雨露计划；30名残疾人落实残疾人补贴；为所有脱贫户、监测户房屋进行安全鉴定，保障住房安全，做到危房不住人，住人不危房；为126人办理了低保。</w:t>
      </w:r>
    </w:p>
    <w:p w14:paraId="2365B1C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工作落实情况</w:t>
      </w:r>
    </w:p>
    <w:p w14:paraId="2064EFE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通过开展“两弘扬一争做”活动，智志双扶激发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的内生动力，克服等、靠、要思想，树立勤劳致富的理念。鼓励有劳动能力的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引导转移就业，拓宽增收渠道，使每户两业都能够在原有的基础上持续增收，同比增长 10%以上。</w:t>
      </w:r>
    </w:p>
    <w:p w14:paraId="403170F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巩固成果情况</w:t>
      </w:r>
    </w:p>
    <w:p w14:paraId="21C1BA3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我村完善防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贫监测机制，每月一排查，对十类人员及时排查，及时整改到位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大力发展畜禽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种植中药材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油菜、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花生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等优势产业，持续拓宽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收入渠道。在全面完成脱贫攻坚专项巡视、国家和省上考核反馈问题整改的基础上，扎实推进脱贫攻坚专项巡视“回头看”等各类反馈问题整改工作，制定整改方案，建立工作台账，切实提升了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巩固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与乡村振兴结合。</w:t>
      </w:r>
    </w:p>
    <w:p w14:paraId="48574FC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/>
        <w:textAlignment w:val="auto"/>
        <w:outlineLvl w:val="9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三、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工作成效</w:t>
      </w:r>
    </w:p>
    <w:p w14:paraId="7B87DD2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产业支撑有力。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金家沟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村充分发掘农村资源，因地制宜发展特色优势产业，结合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我村实际情况坚持“三业并举”（即短、中、长产业项目并举）的发展思路，结合山多地少、传统种植养殖习惯实际，不断增大规模，扩大面积，提高效益。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谋求长远利益，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发展林果500余亩，其中核桃350亩、杏李150亩，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可以增加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经济收入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坚持长短结合，多途径增收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发展中药材展2300亩，其中黄姜1800余亩、丹参95亩、皂桷树300亩、苍术30亩、白芨30亩，黄精及连翘45亩。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可以增加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经济收入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大力发展养殖业，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养牛80头、养羊90只、养猪30头，养蜂110箱。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2022年产业奖补资金发放243000元。</w:t>
      </w:r>
    </w:p>
    <w:p w14:paraId="738BA2A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就业持续稳定。根据《淅川县人民政府办公室关于印发&lt;淅川县贫困人口就业务工“以奖代补”暂行办法&gt;的通知》(淅政办〔2018〕44号）、《淅川县脱贫攻坚领导小组办公室关于印发&lt;淅川县贫困人口就业务工“以奖代补”奖补资金申领工作的补充规定&gt;的通知》(淅脱贫组办〔2018〕224号）的有关要求，为激励和支持全县贫困人口就业务工增收，引导外出就业务工的贫困家庭劳动力给予申请务工奖补，实现有就业意愿和就业能力的贫困家庭劳动力70户，享受务工奖补69100元。</w:t>
      </w:r>
    </w:p>
    <w:p w14:paraId="4787766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金家沟村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乡村公共基础设施建设作为脱贫攻坚及乡村振兴的重点，不断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加强维护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水、电、路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、通讯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等基础设施。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2021年，村内新打深水井一眼，完善饮水管网1000米，修缮损毁道路5处。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BE35C"/>
    <w:multiLevelType w:val="singleLevel"/>
    <w:tmpl w:val="59EBE3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5F4C3294"/>
    <w:rsid w:val="040D1343"/>
    <w:rsid w:val="064279C8"/>
    <w:rsid w:val="0B115E46"/>
    <w:rsid w:val="0B884C29"/>
    <w:rsid w:val="10A93F75"/>
    <w:rsid w:val="14BE702E"/>
    <w:rsid w:val="1C55234C"/>
    <w:rsid w:val="1CE46C4F"/>
    <w:rsid w:val="1EB70DC7"/>
    <w:rsid w:val="201A5A66"/>
    <w:rsid w:val="21EE3018"/>
    <w:rsid w:val="249A2F1C"/>
    <w:rsid w:val="26E15812"/>
    <w:rsid w:val="29C0794F"/>
    <w:rsid w:val="29D27FB4"/>
    <w:rsid w:val="29F351EC"/>
    <w:rsid w:val="3207302C"/>
    <w:rsid w:val="3724479D"/>
    <w:rsid w:val="394A412A"/>
    <w:rsid w:val="397E57AD"/>
    <w:rsid w:val="4338115D"/>
    <w:rsid w:val="464333A1"/>
    <w:rsid w:val="46EF570F"/>
    <w:rsid w:val="48217DB4"/>
    <w:rsid w:val="48BB7D5C"/>
    <w:rsid w:val="4B9A64FB"/>
    <w:rsid w:val="4D8F5115"/>
    <w:rsid w:val="535F1E19"/>
    <w:rsid w:val="550F46CA"/>
    <w:rsid w:val="5CE04D16"/>
    <w:rsid w:val="5F4C3294"/>
    <w:rsid w:val="64A361E9"/>
    <w:rsid w:val="65B6607F"/>
    <w:rsid w:val="67923A8E"/>
    <w:rsid w:val="6A2A590E"/>
    <w:rsid w:val="6B94321F"/>
    <w:rsid w:val="736246F8"/>
    <w:rsid w:val="764A1412"/>
    <w:rsid w:val="786168D4"/>
    <w:rsid w:val="791F68DD"/>
    <w:rsid w:val="7F786876"/>
    <w:rsid w:val="7F93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Body Text 2"/>
    <w:basedOn w:val="1"/>
    <w:next w:val="2"/>
    <w:autoRedefine/>
    <w:qFormat/>
    <w:uiPriority w:val="99"/>
    <w:pPr>
      <w:spacing w:after="120" w:line="480" w:lineRule="auto"/>
    </w:pPr>
  </w:style>
  <w:style w:type="paragraph" w:styleId="5">
    <w:name w:val="Body Text Indent"/>
    <w:basedOn w:val="1"/>
    <w:autoRedefine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6">
    <w:name w:val="Normal (Web)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Calibri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First Indent"/>
    <w:basedOn w:val="2"/>
    <w:autoRedefine/>
    <w:qFormat/>
    <w:uiPriority w:val="99"/>
    <w:pPr>
      <w:ind w:firstLine="420" w:firstLineChars="100"/>
    </w:pPr>
  </w:style>
  <w:style w:type="paragraph" w:styleId="8">
    <w:name w:val="Body Text First Indent 2"/>
    <w:basedOn w:val="5"/>
    <w:next w:val="7"/>
    <w:autoRedefine/>
    <w:qFormat/>
    <w:uiPriority w:val="99"/>
    <w:pPr>
      <w:spacing w:after="120"/>
      <w:ind w:firstLine="420" w:firstLineChars="200"/>
    </w:pPr>
  </w:style>
  <w:style w:type="paragraph" w:customStyle="1" w:styleId="11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12">
    <w:name w:val="reader-word-layer reader-word-s1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1769</Words>
  <Characters>1894</Characters>
  <Lines>0</Lines>
  <Paragraphs>0</Paragraphs>
  <TotalTime>0</TotalTime>
  <ScaleCrop>false</ScaleCrop>
  <LinksUpToDate>false</LinksUpToDate>
  <CharactersWithSpaces>1901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2021-07-30T00:56:00Z</dcterms:created>
  <dc:creator>侧耳倾听</dc:creator>
  <cp:lastModifiedBy>zhx</cp:lastModifiedBy>
  <dcterms:modified xsi:type="dcterms:W3CDTF">2024-11-08T02:59:04Z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F0AE2F4A5740405C825BA492D85AD19E_13</vt:lpwstr>
  </property>
</Properties>
</file>