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赵河村集体资产相关情况：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749925" cy="7432675"/>
            <wp:effectExtent l="0" t="0" r="10795" b="4445"/>
            <wp:docPr id="1" name="图片 1" descr="739d62951cf296ed035dbb7c6655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9d62951cf296ed035dbb7c66555b3"/>
                    <pic:cNvPicPr>
                      <a:picLocks noChangeAspect="1"/>
                    </pic:cNvPicPr>
                  </pic:nvPicPr>
                  <pic:blipFill>
                    <a:blip r:embed="rId4"/>
                    <a:srcRect l="19856" t="5354" r="17041" b="5418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781040" cy="8073390"/>
            <wp:effectExtent l="0" t="0" r="10160" b="3810"/>
            <wp:docPr id="2" name="图片 2" descr="5c2207b3a8234146de8345e3a5bc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2207b3a8234146de8345e3a5bcba9"/>
                    <pic:cNvPicPr>
                      <a:picLocks noChangeAspect="1"/>
                    </pic:cNvPicPr>
                  </pic:nvPicPr>
                  <pic:blipFill>
                    <a:blip r:embed="rId5"/>
                    <a:srcRect l="15814" t="3738" r="12489" b="7178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80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760720" cy="8768715"/>
            <wp:effectExtent l="0" t="0" r="0" b="9525"/>
            <wp:docPr id="3" name="图片 3" descr="55c7016dfe509236ed7a5e2f2f1f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c7016dfe509236ed7a5e2f2f1f7d7"/>
                    <pic:cNvPicPr>
                      <a:picLocks noChangeAspect="1"/>
                    </pic:cNvPicPr>
                  </pic:nvPicPr>
                  <pic:blipFill>
                    <a:blip r:embed="rId6"/>
                    <a:srcRect l="5751" t="5111" r="18058" b="70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56E83E14"/>
    <w:rsid w:val="24C91F46"/>
    <w:rsid w:val="312E1282"/>
    <w:rsid w:val="56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10</TotalTime>
  <ScaleCrop>false</ScaleCrop>
  <LinksUpToDate>false</LinksUpToDate>
  <CharactersWithSpaces>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2023-09-08T01:19:00Z</dcterms:created>
  <dc:creator>Administrator</dc:creator>
  <cp:lastModifiedBy>丹江渔人</cp:lastModifiedBy>
  <dcterms:modified xsi:type="dcterms:W3CDTF">2024-02-28T08:07:55Z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D7A064E51907444DB523B7ECD9C8FE3B_11</vt:lpwstr>
  </property>
</Properties>
</file>