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水田峪</w:t>
      </w:r>
      <w:r>
        <w:rPr>
          <w:rFonts w:hint="eastAsia" w:ascii="方正小标宋简体" w:eastAsia="方正小标宋简体"/>
          <w:sz w:val="44"/>
          <w:szCs w:val="44"/>
        </w:rPr>
        <w:t>村村情概况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月)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水田峪村位于寺湾镇东部约4公里处，属于山区，土地面积1180余亩，荒山5000余亩，全村11个村民小组，党员32名，建档立卡脱贫困户21户，2022年纳入监测户6户，水田峪村属于非贫困村。</w:t>
      </w:r>
      <w:r>
        <w:rPr>
          <w:rFonts w:hint="eastAsia" w:ascii="仿宋_GB2312" w:eastAsia="仿宋_GB2312"/>
          <w:sz w:val="36"/>
          <w:szCs w:val="36"/>
        </w:rPr>
        <w:t>目前为寺湾镇乡村振兴示范村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二、巩固脱贫攻坚成果开展情况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1.责任落实情况。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村2021年两委换届，组成两委班子成员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人。自乡村振兴工作开展以来，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村按照上级党委、政府的安排部署，认真学习领悟，思想上以习总书记和省委领导关于乡村振兴的重要指示为统领，组织上建好班子，带好队伍，统筹好村组干部和帮扶队员两支队伍，发展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稳定脱贫与乡村振兴紧密衔接，早日实现小康生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政策落实情况。针对每户情况，对照行业帮扶政策，协调落实到位，确保户不漏项，项不漏人，应享尽享。饮水安全保障政策，产业扶贫政策:光伏公益岗分红2000元;其他有种植油菜、黄姜、花生、红薯，养殖猪、牛、羊，享受产业奖补收益。就业扶贫:鼓励有劳动能力的贫困户引导转移就业，拓宽增收渠道，同时通过以奖代补，实现贫困户增收增效，今年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人享受务工奖补;按照“一户有一人就业”的要求，根据每户的实际情况，提供公益性岗位，进行岗前培训，现有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人参与公益性岗位;今年共有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名学生享受教育补助，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名学生享受雨露计划补助，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人享受短期技能培训补贴;社会保障类今年享受低保政策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户12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人，享受特困供养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作落实情况。通过开展“两弘扬一争做”活动，智志双扶激发贫困户的内生动力，克服等、靠、要思想，树立勤劳致富的理念。鼓励有劳动能力的贫困户引导转移就业，拓宽增收渠道，使每户两业都能够在原有的基础上持续增收，同比增长10%以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巩固成果情况。我村完善控辍保学长效机制;防范贫监测机制，每月一排查，对十类人员及时排查，及时整改到位;大力发展畜禽、薄壳核桃、红薯等优势产业，持续拓宽贫困户收入渠道。在全面完成脱贫攻坚专项巡视、国家和省考核反馈问题整改的基础上，扎实推进脱贫攻坚专项巡视“回头看”等各类反馈问题整改工作，制定整改方案，建立工作台账，切实提升了脱贫攻坚与乡村振兴结合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三、工作成效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1.设计规划到位。2020年9月，聘请高资质规划公司编制了以黄楝树为中心的产业发展规划，围绕餐饮、休闲度假、民宿、采摘园等项目进行打造，引领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村乡村旅游提档升级，助推乡村振兴。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2.产业支撑有力。脱贫攻坚期间，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村充分发掘农村资源，因地制宜发展特色优势产业，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村结合县委提出的“短中长”三线结合产业发展思路，短线发展养殖种植业，养殖牛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余头</w:t>
      </w:r>
      <w:r>
        <w:rPr>
          <w:rFonts w:hint="eastAsia" w:ascii="仿宋_GB2312" w:eastAsia="仿宋_GB2312"/>
          <w:sz w:val="32"/>
          <w:szCs w:val="32"/>
        </w:rPr>
        <w:t>、羊2</w:t>
      </w:r>
      <w:r>
        <w:rPr>
          <w:rFonts w:ascii="仿宋_GB2312" w:eastAsia="仿宋_GB2312"/>
          <w:sz w:val="32"/>
          <w:szCs w:val="32"/>
        </w:rPr>
        <w:t>00余只，猪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ascii="仿宋_GB2312" w:eastAsia="仿宋_GB2312"/>
          <w:sz w:val="32"/>
          <w:szCs w:val="32"/>
        </w:rPr>
        <w:t>余头，</w:t>
      </w:r>
      <w:r>
        <w:rPr>
          <w:rFonts w:hint="eastAsia" w:ascii="仿宋_GB2312" w:eastAsia="仿宋_GB2312"/>
          <w:sz w:val="32"/>
          <w:szCs w:val="32"/>
        </w:rPr>
        <w:t>种植有油菜、花生、红薯等1</w:t>
      </w:r>
      <w:r>
        <w:rPr>
          <w:rFonts w:ascii="仿宋_GB2312" w:eastAsia="仿宋_GB2312"/>
          <w:sz w:val="32"/>
          <w:szCs w:val="32"/>
        </w:rPr>
        <w:t>000余亩</w:t>
      </w:r>
      <w:r>
        <w:rPr>
          <w:rFonts w:hint="eastAsia" w:ascii="仿宋_GB2312" w:eastAsia="仿宋_GB2312"/>
          <w:sz w:val="32"/>
          <w:szCs w:val="32"/>
        </w:rPr>
        <w:t>。中线发展薄壳核桃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00余</w:t>
      </w:r>
      <w:r>
        <w:rPr>
          <w:rFonts w:hint="eastAsia" w:ascii="仿宋_GB2312" w:eastAsia="仿宋_GB2312"/>
          <w:sz w:val="32"/>
          <w:szCs w:val="32"/>
        </w:rPr>
        <w:t>亩实现产业全覆盖;长线发展乡村旅游建设，以产业发展带动乡村旅游，以乡村旅游促进乡村建设。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基础建设较好。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把加强乡村公共基础设施建设作为脱贫攻坚及乡村振兴的重点，不断完善水、电、路等基础设施。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村积极与交通、住建、规划、旅游等部门加强沟通对接，近年来共投资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万元，修通村路主路、乡村路、荒草地生产路共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公里，投资建成文化娱乐广场，;实施电力改造项目，完成高压线路改造3公里，安装太阳能路灯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杆，建成村级客运站点、文化广场、卫生所、村级普惠金融站、村级电商等服务设施，村容村貌焕然一新。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4.乡村旅游起步。重点打造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水田峪</w:t>
      </w:r>
      <w:r>
        <w:rPr>
          <w:rFonts w:hint="eastAsia" w:ascii="仿宋_GB2312" w:eastAsia="仿宋_GB2312"/>
          <w:sz w:val="32"/>
          <w:szCs w:val="32"/>
        </w:rPr>
        <w:t>乡村振兴示范村，充分发挥示范村的辐射带动作用，通过“政府搭台、企业上台、群众参与”的模式计划打造集乡村旅游、生态农业、水上乐园、采摘园、乡村农家乐、游客集散中心为一体的全域格局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TYzOGU5MTY4NDc5OTZlMTFlYjlkMGRlYjBiNzgifQ=="/>
  </w:docVars>
  <w:rsids>
    <w:rsidRoot w:val="5FDF6FFC"/>
    <w:rsid w:val="5FD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2022-11-12T01:02:00Z</dcterms:created>
  <dc:creator>Lenovo</dc:creator>
  <cp:lastModifiedBy>Lenovo</cp:lastModifiedBy>
  <cp:lastPrinted>2022-11-12T01:20:02Z</cp:lastPrinted>
  <dcterms:modified xsi:type="dcterms:W3CDTF">2022-11-12T01:20:29Z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C0BAC93D9DB34F42BFE8C54ED4906A1E</vt:lpwstr>
  </property>
</Properties>
</file>