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r>
        <w:rPr>
          <w:rFonts w:hint="eastAsia"/>
          <w:sz w:val="52"/>
          <w:szCs w:val="72"/>
          <w:lang w:val="en-US" w:eastAsia="zh-CN"/>
        </w:rPr>
        <w:t>朱家营村一事一议项目实施情况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2019年11月至2020年3月，我村实施一事一议饮修路项目，新铺设公路2.5米宽，635米长，18公分厚。村委会对此项目实施情况进行了民主决策，按照“四议两公开”工作法，及时将实施结果公示公开，“两委”班子按照会议结果实施。</w:t>
      </w: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 朱家营村村委会</w:t>
      </w:r>
    </w:p>
    <w:p>
      <w:pPr>
        <w:jc w:val="right"/>
      </w:pPr>
      <w:r>
        <w:rPr>
          <w:rFonts w:hint="eastAsia"/>
          <w:sz w:val="48"/>
          <w:szCs w:val="56"/>
          <w:lang w:val="en-US" w:eastAsia="zh-CN"/>
        </w:rPr>
        <w:t>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53011"/>
    <w:rsid w:val="7FA5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2020-11-25T02:23:00Z</dcterms:created>
  <dc:creator>勾勾手的约定</dc:creator>
  <cp:lastModifiedBy>勾勾手的约定</cp:lastModifiedBy>
  <dcterms:modified xsi:type="dcterms:W3CDTF">2020-11-25T02:27:29Z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